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F4" w:rsidRDefault="00D30CF4" w:rsidP="00D30CF4">
      <w:pPr>
        <w:pStyle w:val="Default"/>
        <w:spacing w:after="210"/>
        <w:rPr>
          <w:rFonts w:ascii="仿宋_GB2312" w:eastAsia="仿宋_GB2312" w:cs="仿宋_GB2312"/>
          <w:color w:val="auto"/>
          <w:sz w:val="32"/>
          <w:szCs w:val="32"/>
        </w:rPr>
      </w:pPr>
      <w:r w:rsidRPr="00D30CF4">
        <w:rPr>
          <w:rFonts w:ascii="仿宋_GB2312" w:eastAsia="仿宋_GB2312" w:cs="仿宋_GB2312" w:hint="eastAsia"/>
          <w:b/>
          <w:color w:val="auto"/>
          <w:sz w:val="32"/>
          <w:szCs w:val="32"/>
        </w:rPr>
        <w:t>严重事故隐患</w:t>
      </w:r>
      <w:r>
        <w:rPr>
          <w:rFonts w:ascii="仿宋_GB2312" w:eastAsia="仿宋_GB2312" w:cs="仿宋_GB2312" w:hint="eastAsia"/>
          <w:color w:val="auto"/>
          <w:sz w:val="32"/>
          <w:szCs w:val="32"/>
        </w:rPr>
        <w:t>:</w:t>
      </w:r>
      <w:r>
        <w:rPr>
          <w:rFonts w:ascii="仿宋_GB2312" w:eastAsia="仿宋_GB2312" w:cs="仿宋_GB2312"/>
          <w:color w:val="auto"/>
          <w:sz w:val="32"/>
          <w:szCs w:val="32"/>
        </w:rPr>
        <w:t xml:space="preserve"> </w:t>
      </w:r>
    </w:p>
    <w:p w:rsidR="00D30CF4" w:rsidRDefault="00D30CF4" w:rsidP="00D30CF4">
      <w:pPr>
        <w:pStyle w:val="Default"/>
        <w:spacing w:after="210"/>
        <w:ind w:left="360"/>
        <w:rPr>
          <w:rFonts w:ascii="仿宋_GB2312" w:eastAsia="仿宋_GB2312" w:cs="仿宋_GB2312" w:hint="eastAsia"/>
          <w:color w:val="auto"/>
          <w:sz w:val="32"/>
          <w:szCs w:val="32"/>
        </w:rPr>
      </w:pPr>
      <w:r>
        <w:rPr>
          <w:rFonts w:ascii="仿宋_GB2312" w:eastAsia="仿宋_GB2312" w:cs="仿宋_GB2312" w:hint="eastAsia"/>
          <w:color w:val="auto"/>
          <w:sz w:val="32"/>
          <w:szCs w:val="32"/>
        </w:rPr>
        <w:t>一、设备类：</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在用的特种设备是未取得许可进行设计、制造、安装、改造、重大修理的。</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在用的特种设备是未经检验或检验不合格的（使用资料不符合安全技术规范导致检验不合格的电梯除外）。</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在用的特种设备是国家明令淘汰的。</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在用的特种设备是已经报废的。</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在用特种设备存在必须停用修理的超标缺陷。</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特种设备存在严重事故隐患无改造、修理价值，或者达到安全技术规范规定的其他报废条件，未依法履行报废义务，并办理使用登记证书注销手续的。</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在用特种设备超过规定参数、使用范围使用的。</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特种设备或者其主要部件不符合安全技术规范，包括安全附件、安全保护装置等缺少、失效或失灵。</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将非承压锅炉、</w:t>
      </w:r>
      <w:proofErr w:type="gramStart"/>
      <w:r w:rsidRPr="00B26011">
        <w:rPr>
          <w:rFonts w:ascii="宋体" w:eastAsia="宋体" w:cs="宋体" w:hint="eastAsia"/>
          <w:sz w:val="28"/>
          <w:szCs w:val="28"/>
        </w:rPr>
        <w:t>非压力</w:t>
      </w:r>
      <w:proofErr w:type="gramEnd"/>
      <w:r w:rsidRPr="00B26011">
        <w:rPr>
          <w:rFonts w:ascii="宋体" w:eastAsia="宋体" w:cs="宋体" w:hint="eastAsia"/>
          <w:sz w:val="28"/>
          <w:szCs w:val="28"/>
        </w:rPr>
        <w:t>容器作为承压锅炉、压力容器使用或热水锅炉改为蒸汽锅炉使用的。</w:t>
      </w:r>
    </w:p>
    <w:p w:rsidR="00D30CF4" w:rsidRPr="00B26011" w:rsidRDefault="00D30CF4" w:rsidP="00B26011">
      <w:pPr>
        <w:pStyle w:val="Default"/>
        <w:numPr>
          <w:ilvl w:val="0"/>
          <w:numId w:val="4"/>
        </w:numPr>
        <w:spacing w:line="360" w:lineRule="auto"/>
        <w:rPr>
          <w:rFonts w:ascii="宋体" w:eastAsia="宋体" w:cs="宋体" w:hint="eastAsia"/>
          <w:sz w:val="28"/>
          <w:szCs w:val="28"/>
        </w:rPr>
      </w:pPr>
      <w:r w:rsidRPr="00B26011">
        <w:rPr>
          <w:rFonts w:ascii="宋体" w:eastAsia="宋体" w:cs="宋体" w:hint="eastAsia"/>
          <w:sz w:val="28"/>
          <w:szCs w:val="28"/>
        </w:rPr>
        <w:t>在用特种设备是已被召回的（含生产单位主动召回、政府相关部门强制召回）。</w:t>
      </w:r>
    </w:p>
    <w:p w:rsidR="00D30CF4" w:rsidRPr="00D30CF4" w:rsidRDefault="00D30CF4" w:rsidP="00D30CF4">
      <w:pPr>
        <w:pStyle w:val="Default"/>
        <w:spacing w:after="210"/>
        <w:ind w:left="360"/>
        <w:rPr>
          <w:rFonts w:ascii="仿宋_GB2312" w:eastAsia="仿宋_GB2312" w:cs="仿宋_GB2312" w:hint="eastAsia"/>
          <w:color w:val="auto"/>
          <w:sz w:val="32"/>
          <w:szCs w:val="32"/>
        </w:rPr>
      </w:pPr>
      <w:r>
        <w:rPr>
          <w:rFonts w:ascii="仿宋_GB2312" w:eastAsia="仿宋_GB2312" w:cs="仿宋_GB2312" w:hint="eastAsia"/>
          <w:color w:val="auto"/>
          <w:sz w:val="32"/>
          <w:szCs w:val="32"/>
        </w:rPr>
        <w:t>二、</w:t>
      </w:r>
      <w:r w:rsidRPr="00D30CF4">
        <w:rPr>
          <w:rFonts w:ascii="仿宋_GB2312" w:eastAsia="仿宋_GB2312" w:cs="仿宋_GB2312" w:hint="eastAsia"/>
          <w:color w:val="auto"/>
          <w:sz w:val="32"/>
          <w:szCs w:val="32"/>
        </w:rPr>
        <w:t>管理类</w:t>
      </w:r>
    </w:p>
    <w:p w:rsidR="00D30CF4"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t>特种设备出现故障或者发生异常情况，未对其进行全面检查、消除事故隐患，继续使用的。</w:t>
      </w:r>
    </w:p>
    <w:p w:rsidR="00590061"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t>使用被责令整改而未予整改的特种设备。</w:t>
      </w:r>
    </w:p>
    <w:p w:rsidR="00590061"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t>特种设备发生事故不予报告而继续使用的。</w:t>
      </w:r>
    </w:p>
    <w:p w:rsidR="00590061"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t>未经许可，擅自从事移动式压力容器或者气瓶充装活动的。</w:t>
      </w:r>
    </w:p>
    <w:p w:rsidR="00590061"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t>对不符合安全技术规范要求的移动式压力容器和气瓶进行充装的。</w:t>
      </w:r>
    </w:p>
    <w:p w:rsidR="00590061"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lastRenderedPageBreak/>
        <w:t>气瓶、移动式压力容器充装单位未按照规定实施充装前后检查的。</w:t>
      </w:r>
    </w:p>
    <w:p w:rsidR="00590061" w:rsidRPr="00B26011" w:rsidRDefault="00590061" w:rsidP="00B26011">
      <w:pPr>
        <w:pStyle w:val="Default"/>
        <w:numPr>
          <w:ilvl w:val="0"/>
          <w:numId w:val="5"/>
        </w:numPr>
        <w:spacing w:line="360" w:lineRule="auto"/>
        <w:rPr>
          <w:rFonts w:ascii="宋体" w:eastAsia="宋体" w:cs="宋体" w:hint="eastAsia"/>
          <w:sz w:val="28"/>
          <w:szCs w:val="28"/>
        </w:rPr>
      </w:pPr>
      <w:r w:rsidRPr="00B26011">
        <w:rPr>
          <w:rFonts w:ascii="宋体" w:eastAsia="宋体" w:cs="宋体" w:hint="eastAsia"/>
          <w:sz w:val="28"/>
          <w:szCs w:val="28"/>
        </w:rPr>
        <w:t>电梯使用单位委托不具备资质的单位承担电梯维护保养工作的。</w:t>
      </w:r>
    </w:p>
    <w:p w:rsidR="00590061" w:rsidRPr="00590061" w:rsidRDefault="00590061" w:rsidP="00D30CF4">
      <w:pPr>
        <w:pStyle w:val="Default"/>
        <w:spacing w:after="210"/>
        <w:ind w:left="360"/>
        <w:rPr>
          <w:rFonts w:ascii="仿宋_GB2312" w:eastAsia="仿宋_GB2312" w:cs="仿宋_GB2312"/>
          <w:color w:val="auto"/>
          <w:sz w:val="32"/>
          <w:szCs w:val="32"/>
        </w:rPr>
      </w:pPr>
    </w:p>
    <w:p w:rsidR="00D30CF4" w:rsidRDefault="00D30CF4" w:rsidP="00D30CF4">
      <w:pPr>
        <w:pStyle w:val="Default"/>
        <w:spacing w:after="210"/>
        <w:rPr>
          <w:rFonts w:ascii="仿宋_GB2312" w:eastAsia="仿宋_GB2312" w:cs="仿宋_GB2312" w:hint="eastAsia"/>
          <w:color w:val="auto"/>
          <w:sz w:val="32"/>
          <w:szCs w:val="32"/>
        </w:rPr>
      </w:pPr>
      <w:r w:rsidRPr="00D30CF4">
        <w:rPr>
          <w:rFonts w:ascii="仿宋_GB2312" w:eastAsia="仿宋_GB2312" w:cs="仿宋_GB2312" w:hint="eastAsia"/>
          <w:b/>
          <w:color w:val="auto"/>
          <w:sz w:val="32"/>
          <w:szCs w:val="32"/>
        </w:rPr>
        <w:t>较大事故隐患</w:t>
      </w:r>
      <w:r>
        <w:rPr>
          <w:rFonts w:ascii="仿宋_GB2312" w:eastAsia="仿宋_GB2312" w:cs="仿宋_GB2312" w:hint="eastAsia"/>
          <w:color w:val="auto"/>
          <w:sz w:val="32"/>
          <w:szCs w:val="32"/>
        </w:rPr>
        <w:t>:</w:t>
      </w:r>
    </w:p>
    <w:p w:rsidR="00590061" w:rsidRDefault="00590061" w:rsidP="00590061">
      <w:pPr>
        <w:pStyle w:val="Default"/>
        <w:spacing w:after="210"/>
        <w:ind w:left="360"/>
        <w:rPr>
          <w:rFonts w:ascii="仿宋_GB2312" w:eastAsia="仿宋_GB2312" w:cs="仿宋_GB2312" w:hint="eastAsia"/>
          <w:color w:val="auto"/>
          <w:sz w:val="32"/>
          <w:szCs w:val="32"/>
        </w:rPr>
      </w:pPr>
      <w:r>
        <w:rPr>
          <w:rFonts w:ascii="仿宋_GB2312" w:eastAsia="仿宋_GB2312" w:cs="仿宋_GB2312" w:hint="eastAsia"/>
          <w:color w:val="auto"/>
          <w:sz w:val="32"/>
          <w:szCs w:val="32"/>
        </w:rPr>
        <w:t>一、设备类：</w:t>
      </w:r>
    </w:p>
    <w:p w:rsidR="00590061" w:rsidRPr="00B26011" w:rsidRDefault="00590061" w:rsidP="00B26011">
      <w:pPr>
        <w:pStyle w:val="Default"/>
        <w:numPr>
          <w:ilvl w:val="0"/>
          <w:numId w:val="6"/>
        </w:numPr>
        <w:spacing w:line="360" w:lineRule="auto"/>
        <w:rPr>
          <w:rFonts w:ascii="宋体" w:eastAsia="宋体" w:cs="宋体" w:hint="eastAsia"/>
          <w:sz w:val="28"/>
          <w:szCs w:val="28"/>
        </w:rPr>
      </w:pPr>
      <w:r w:rsidRPr="00B26011">
        <w:rPr>
          <w:rFonts w:ascii="宋体" w:eastAsia="宋体" w:cs="宋体" w:hint="eastAsia"/>
          <w:sz w:val="28"/>
          <w:szCs w:val="28"/>
        </w:rPr>
        <w:t>气瓶、移动式压力容器充装用计量器具的选型、规格及检定不符合有关安全技术规范及相应标准规定。</w:t>
      </w:r>
    </w:p>
    <w:p w:rsidR="00590061" w:rsidRPr="00B26011" w:rsidRDefault="00590061" w:rsidP="00B26011">
      <w:pPr>
        <w:pStyle w:val="Default"/>
        <w:numPr>
          <w:ilvl w:val="0"/>
          <w:numId w:val="6"/>
        </w:numPr>
        <w:spacing w:line="360" w:lineRule="auto"/>
        <w:rPr>
          <w:rFonts w:ascii="宋体" w:eastAsia="宋体" w:cs="宋体" w:hint="eastAsia"/>
          <w:sz w:val="28"/>
          <w:szCs w:val="28"/>
        </w:rPr>
      </w:pPr>
      <w:r w:rsidRPr="00B26011">
        <w:rPr>
          <w:rFonts w:ascii="宋体" w:eastAsia="宋体" w:cs="宋体" w:hint="eastAsia"/>
          <w:sz w:val="28"/>
          <w:szCs w:val="28"/>
        </w:rPr>
        <w:t>电梯轿厢的装修不符合电梯安全技术规范及相关标准要求。</w:t>
      </w:r>
    </w:p>
    <w:p w:rsidR="00590061" w:rsidRPr="00D30CF4" w:rsidRDefault="00590061" w:rsidP="00590061">
      <w:pPr>
        <w:pStyle w:val="Default"/>
        <w:spacing w:after="210"/>
        <w:ind w:left="360"/>
        <w:rPr>
          <w:rFonts w:ascii="仿宋_GB2312" w:eastAsia="仿宋_GB2312" w:cs="仿宋_GB2312" w:hint="eastAsia"/>
          <w:color w:val="auto"/>
          <w:sz w:val="32"/>
          <w:szCs w:val="32"/>
        </w:rPr>
      </w:pPr>
      <w:r>
        <w:rPr>
          <w:rFonts w:ascii="仿宋_GB2312" w:eastAsia="仿宋_GB2312" w:cs="仿宋_GB2312" w:hint="eastAsia"/>
          <w:color w:val="auto"/>
          <w:sz w:val="32"/>
          <w:szCs w:val="32"/>
        </w:rPr>
        <w:t>二、</w:t>
      </w:r>
      <w:r w:rsidRPr="00D30CF4">
        <w:rPr>
          <w:rFonts w:ascii="仿宋_GB2312" w:eastAsia="仿宋_GB2312" w:cs="仿宋_GB2312" w:hint="eastAsia"/>
          <w:color w:val="auto"/>
          <w:sz w:val="32"/>
          <w:szCs w:val="32"/>
        </w:rPr>
        <w:t>管理类</w:t>
      </w:r>
    </w:p>
    <w:p w:rsidR="00590061" w:rsidRPr="00B26011" w:rsidRDefault="00590061"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在用特种设备未按照规定办理使用登记。</w:t>
      </w:r>
    </w:p>
    <w:p w:rsidR="00590061" w:rsidRPr="00B26011" w:rsidRDefault="00590061"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未建立特种设备安全技术档案或者安全技术档案不符合规定要求。</w:t>
      </w:r>
    </w:p>
    <w:p w:rsidR="00590061" w:rsidRPr="00B26011" w:rsidRDefault="00590061"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未配备特种设备安全管理负责人；未建立岗位责任、隐患治理等管理制度和操作规程；未制定特种设备事故应急专项预案，并定期进行应急演练。</w:t>
      </w:r>
    </w:p>
    <w:p w:rsidR="00590061" w:rsidRPr="00B26011" w:rsidRDefault="00590061"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未依法设置特种设备使用标志。</w:t>
      </w:r>
    </w:p>
    <w:p w:rsidR="00590061" w:rsidRPr="00B26011" w:rsidRDefault="00590061"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未对使用的特种设备进行经常性维护保养和定期自行检查，或者未对使用的特种设备的安全附件、安全保护装置等进行定期校验、检修，并</w:t>
      </w:r>
      <w:proofErr w:type="gramStart"/>
      <w:r w:rsidRPr="00B26011">
        <w:rPr>
          <w:rFonts w:ascii="宋体" w:eastAsia="宋体" w:cs="宋体" w:hint="eastAsia"/>
          <w:sz w:val="28"/>
          <w:szCs w:val="28"/>
        </w:rPr>
        <w:t>作出</w:t>
      </w:r>
      <w:proofErr w:type="gramEnd"/>
      <w:r w:rsidRPr="00B26011">
        <w:rPr>
          <w:rFonts w:ascii="宋体" w:eastAsia="宋体" w:cs="宋体" w:hint="eastAsia"/>
          <w:sz w:val="28"/>
          <w:szCs w:val="28"/>
        </w:rPr>
        <w:t>记录。</w:t>
      </w:r>
    </w:p>
    <w:p w:rsidR="00590061" w:rsidRPr="00B26011" w:rsidRDefault="00590061"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未按照安全技术规范的要求及时申报并接受检验。</w:t>
      </w:r>
    </w:p>
    <w:p w:rsidR="00590061" w:rsidRPr="00B26011" w:rsidRDefault="00CD1F1E"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特种设备运营使用单位未按规定设置特种设备安全管理机构，配备专职或兼职的特种设备安全管理人员。</w:t>
      </w:r>
    </w:p>
    <w:p w:rsidR="00CD1F1E" w:rsidRPr="00B26011" w:rsidRDefault="00CD1F1E"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气瓶、移动式压力容器充装前后检查无记录。</w:t>
      </w:r>
    </w:p>
    <w:p w:rsidR="00CD1F1E" w:rsidRPr="00B26011" w:rsidRDefault="00CD1F1E"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客运索道、大型游乐设施每日投入使用前，未进行试运行和例行安全检查，未对安全附件和安全保护装置进行检查确认。</w:t>
      </w:r>
    </w:p>
    <w:p w:rsidR="00CD1F1E" w:rsidRPr="00B26011" w:rsidRDefault="00CD1F1E"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未将电梯、客运索道、大型游乐设施、机械式停车设备等的安全使用说</w:t>
      </w:r>
      <w:r w:rsidRPr="00B26011">
        <w:rPr>
          <w:rFonts w:ascii="宋体" w:eastAsia="宋体" w:cs="宋体" w:hint="eastAsia"/>
          <w:sz w:val="28"/>
          <w:szCs w:val="28"/>
        </w:rPr>
        <w:lastRenderedPageBreak/>
        <w:t>明、安全注意事项和警示标志置于易于为使用者注意的显著位置。</w:t>
      </w:r>
    </w:p>
    <w:p w:rsidR="00CD1F1E" w:rsidRPr="00B26011" w:rsidRDefault="00CD1F1E"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未按照安全技术规范的要求进行锅炉水（</w:t>
      </w:r>
      <w:proofErr w:type="gramStart"/>
      <w:r w:rsidRPr="00B26011">
        <w:rPr>
          <w:rFonts w:ascii="宋体" w:eastAsia="宋体" w:cs="宋体" w:hint="eastAsia"/>
          <w:sz w:val="28"/>
          <w:szCs w:val="28"/>
        </w:rPr>
        <w:t>介</w:t>
      </w:r>
      <w:proofErr w:type="gramEnd"/>
      <w:r w:rsidRPr="00B26011">
        <w:rPr>
          <w:rFonts w:ascii="宋体" w:eastAsia="宋体" w:cs="宋体" w:hint="eastAsia"/>
          <w:sz w:val="28"/>
          <w:szCs w:val="28"/>
        </w:rPr>
        <w:t>）质处理。</w:t>
      </w:r>
    </w:p>
    <w:p w:rsidR="00CD1F1E" w:rsidRPr="00B26011" w:rsidRDefault="00CD1F1E" w:rsidP="00B26011">
      <w:pPr>
        <w:pStyle w:val="Default"/>
        <w:numPr>
          <w:ilvl w:val="0"/>
          <w:numId w:val="7"/>
        </w:numPr>
        <w:spacing w:line="360" w:lineRule="auto"/>
        <w:rPr>
          <w:rFonts w:ascii="宋体" w:eastAsia="宋体" w:cs="宋体" w:hint="eastAsia"/>
          <w:sz w:val="28"/>
          <w:szCs w:val="28"/>
        </w:rPr>
      </w:pPr>
      <w:r w:rsidRPr="00B26011">
        <w:rPr>
          <w:rFonts w:ascii="宋体" w:eastAsia="宋体" w:cs="宋体" w:hint="eastAsia"/>
          <w:sz w:val="28"/>
          <w:szCs w:val="28"/>
        </w:rPr>
        <w:t>对安全状况等级为</w:t>
      </w:r>
      <w:r w:rsidRPr="00B26011">
        <w:rPr>
          <w:rFonts w:ascii="宋体" w:eastAsia="宋体" w:cs="宋体"/>
          <w:sz w:val="28"/>
          <w:szCs w:val="28"/>
        </w:rPr>
        <w:t xml:space="preserve"> 3</w:t>
      </w:r>
      <w:r w:rsidRPr="00B26011">
        <w:rPr>
          <w:rFonts w:ascii="宋体" w:eastAsia="宋体" w:cs="宋体" w:hint="eastAsia"/>
          <w:sz w:val="28"/>
          <w:szCs w:val="28"/>
        </w:rPr>
        <w:t>级压力管道、</w:t>
      </w:r>
      <w:r w:rsidRPr="00B26011">
        <w:rPr>
          <w:rFonts w:ascii="宋体" w:eastAsia="宋体" w:cs="宋体"/>
          <w:sz w:val="28"/>
          <w:szCs w:val="28"/>
        </w:rPr>
        <w:t xml:space="preserve"> 4</w:t>
      </w:r>
      <w:r w:rsidRPr="00B26011">
        <w:rPr>
          <w:rFonts w:ascii="宋体" w:eastAsia="宋体" w:cs="宋体" w:hint="eastAsia"/>
          <w:sz w:val="28"/>
          <w:szCs w:val="28"/>
        </w:rPr>
        <w:t>级固定式压力容器和检验结论为基本符合要求的锅炉未制定监控措施或措施不到位仍在使用。</w:t>
      </w:r>
    </w:p>
    <w:p w:rsidR="00CD1F1E" w:rsidRPr="00D30CF4" w:rsidRDefault="00CD1F1E" w:rsidP="00CD1F1E">
      <w:pPr>
        <w:pStyle w:val="Default"/>
        <w:spacing w:after="210"/>
        <w:ind w:left="360"/>
        <w:rPr>
          <w:rFonts w:ascii="仿宋_GB2312" w:eastAsia="仿宋_GB2312" w:cs="仿宋_GB2312" w:hint="eastAsia"/>
          <w:color w:val="auto"/>
          <w:sz w:val="32"/>
          <w:szCs w:val="32"/>
        </w:rPr>
      </w:pPr>
      <w:r>
        <w:rPr>
          <w:rFonts w:ascii="仿宋_GB2312" w:eastAsia="仿宋_GB2312" w:cs="仿宋_GB2312" w:hint="eastAsia"/>
          <w:color w:val="auto"/>
          <w:sz w:val="32"/>
          <w:szCs w:val="32"/>
        </w:rPr>
        <w:t>三、人员</w:t>
      </w:r>
      <w:r w:rsidRPr="00D30CF4">
        <w:rPr>
          <w:rFonts w:ascii="仿宋_GB2312" w:eastAsia="仿宋_GB2312" w:cs="仿宋_GB2312" w:hint="eastAsia"/>
          <w:color w:val="auto"/>
          <w:sz w:val="32"/>
          <w:szCs w:val="32"/>
        </w:rPr>
        <w:t>类</w:t>
      </w:r>
    </w:p>
    <w:p w:rsidR="00CD1F1E" w:rsidRPr="00B26011" w:rsidRDefault="00CD1F1E" w:rsidP="00B26011">
      <w:pPr>
        <w:pStyle w:val="Default"/>
        <w:numPr>
          <w:ilvl w:val="0"/>
          <w:numId w:val="8"/>
        </w:numPr>
        <w:spacing w:line="360" w:lineRule="auto"/>
        <w:rPr>
          <w:rFonts w:ascii="宋体" w:eastAsia="宋体" w:cs="宋体" w:hint="eastAsia"/>
          <w:sz w:val="28"/>
          <w:szCs w:val="28"/>
        </w:rPr>
      </w:pPr>
      <w:r w:rsidRPr="00B26011">
        <w:rPr>
          <w:rFonts w:ascii="宋体" w:eastAsia="宋体" w:cs="宋体" w:hint="eastAsia"/>
          <w:sz w:val="28"/>
          <w:szCs w:val="28"/>
        </w:rPr>
        <w:t>特种设备管理人员、作业人员等无证上岗。</w:t>
      </w:r>
    </w:p>
    <w:p w:rsidR="00CD1F1E" w:rsidRPr="00B26011" w:rsidRDefault="00CD1F1E" w:rsidP="00B26011">
      <w:pPr>
        <w:pStyle w:val="Default"/>
        <w:numPr>
          <w:ilvl w:val="0"/>
          <w:numId w:val="8"/>
        </w:numPr>
        <w:spacing w:line="360" w:lineRule="auto"/>
        <w:rPr>
          <w:rFonts w:ascii="宋体" w:eastAsia="宋体" w:cs="宋体" w:hint="eastAsia"/>
          <w:sz w:val="28"/>
          <w:szCs w:val="28"/>
        </w:rPr>
      </w:pPr>
      <w:r w:rsidRPr="00B26011">
        <w:rPr>
          <w:rFonts w:ascii="宋体" w:eastAsia="宋体" w:cs="宋体" w:hint="eastAsia"/>
          <w:sz w:val="28"/>
          <w:szCs w:val="28"/>
        </w:rPr>
        <w:t>特种设备管理人员、作业人员未经安全教育和技能培训。</w:t>
      </w:r>
    </w:p>
    <w:p w:rsidR="00590061" w:rsidRPr="00B26011" w:rsidRDefault="00CD1F1E" w:rsidP="00B26011">
      <w:pPr>
        <w:pStyle w:val="Default"/>
        <w:numPr>
          <w:ilvl w:val="0"/>
          <w:numId w:val="8"/>
        </w:numPr>
        <w:spacing w:line="360" w:lineRule="auto"/>
        <w:rPr>
          <w:rFonts w:ascii="宋体" w:eastAsia="宋体" w:cs="宋体"/>
          <w:sz w:val="28"/>
          <w:szCs w:val="28"/>
        </w:rPr>
      </w:pPr>
      <w:r w:rsidRPr="00B26011">
        <w:rPr>
          <w:rFonts w:ascii="宋体" w:eastAsia="宋体" w:cs="宋体" w:hint="eastAsia"/>
          <w:sz w:val="28"/>
          <w:szCs w:val="28"/>
        </w:rPr>
        <w:t>管理人员、作业人员违反操作规程。</w:t>
      </w:r>
    </w:p>
    <w:sectPr w:rsidR="00590061" w:rsidRPr="00B26011" w:rsidSect="009D55C5">
      <w:pgSz w:w="11905" w:h="17338"/>
      <w:pgMar w:top="1435" w:right="1134" w:bottom="1134" w:left="124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3041B8"/>
    <w:multiLevelType w:val="hybridMultilevel"/>
    <w:tmpl w:val="B3A47B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B769E"/>
    <w:multiLevelType w:val="hybridMultilevel"/>
    <w:tmpl w:val="6A18A74A"/>
    <w:lvl w:ilvl="0" w:tplc="6BBED00E">
      <w:start w:val="1"/>
      <w:numFmt w:val="decimal"/>
      <w:lvlText w:val="%1. "/>
      <w:lvlJc w:val="left"/>
      <w:pPr>
        <w:ind w:left="777" w:hanging="420"/>
      </w:pPr>
      <w:rPr>
        <w:rFonts w:ascii="Calibri" w:hAnsi="Calibri" w:cs="Times New Roman"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nsid w:val="33132112"/>
    <w:multiLevelType w:val="hybridMultilevel"/>
    <w:tmpl w:val="D031E0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4EE40E8"/>
    <w:multiLevelType w:val="hybridMultilevel"/>
    <w:tmpl w:val="6A18A74A"/>
    <w:lvl w:ilvl="0" w:tplc="6BBED00E">
      <w:start w:val="1"/>
      <w:numFmt w:val="decimal"/>
      <w:lvlText w:val="%1. "/>
      <w:lvlJc w:val="left"/>
      <w:pPr>
        <w:ind w:left="777" w:hanging="420"/>
      </w:pPr>
      <w:rPr>
        <w:rFonts w:ascii="Calibri" w:hAnsi="Calibri" w:cs="Times New Roman"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3F927DC0"/>
    <w:multiLevelType w:val="hybridMultilevel"/>
    <w:tmpl w:val="6A18A74A"/>
    <w:lvl w:ilvl="0" w:tplc="6BBED00E">
      <w:start w:val="1"/>
      <w:numFmt w:val="decimal"/>
      <w:lvlText w:val="%1. "/>
      <w:lvlJc w:val="left"/>
      <w:pPr>
        <w:ind w:left="777" w:hanging="420"/>
      </w:pPr>
      <w:rPr>
        <w:rFonts w:ascii="Calibri" w:hAnsi="Calibri" w:cs="Times New Roman"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5">
    <w:nsid w:val="570C1EFE"/>
    <w:multiLevelType w:val="hybridMultilevel"/>
    <w:tmpl w:val="6A18A74A"/>
    <w:lvl w:ilvl="0" w:tplc="6BBED00E">
      <w:start w:val="1"/>
      <w:numFmt w:val="decimal"/>
      <w:lvlText w:val="%1. "/>
      <w:lvlJc w:val="left"/>
      <w:pPr>
        <w:ind w:left="777" w:hanging="420"/>
      </w:pPr>
      <w:rPr>
        <w:rFonts w:ascii="Calibri" w:hAnsi="Calibri" w:cs="Times New Roman"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6">
    <w:nsid w:val="5F563F22"/>
    <w:multiLevelType w:val="hybridMultilevel"/>
    <w:tmpl w:val="6A18A74A"/>
    <w:lvl w:ilvl="0" w:tplc="6BBED00E">
      <w:start w:val="1"/>
      <w:numFmt w:val="decimal"/>
      <w:lvlText w:val="%1. "/>
      <w:lvlJc w:val="left"/>
      <w:pPr>
        <w:ind w:left="777" w:hanging="420"/>
      </w:pPr>
      <w:rPr>
        <w:rFonts w:ascii="Calibri" w:hAnsi="Calibri" w:cs="Times New Roman"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7">
    <w:nsid w:val="65C3C45E"/>
    <w:multiLevelType w:val="hybridMultilevel"/>
    <w:tmpl w:val="3D83FF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0CF4"/>
    <w:rsid w:val="004F7B4D"/>
    <w:rsid w:val="00590061"/>
    <w:rsid w:val="007C7987"/>
    <w:rsid w:val="009D55C5"/>
    <w:rsid w:val="00A3741E"/>
    <w:rsid w:val="00B26011"/>
    <w:rsid w:val="00B65A19"/>
    <w:rsid w:val="00CD1F1E"/>
    <w:rsid w:val="00D30CF4"/>
    <w:rsid w:val="00DB3B38"/>
    <w:rsid w:val="00F559E6"/>
    <w:rsid w:val="00FC5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F4"/>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CF4"/>
    <w:pPr>
      <w:widowControl w:val="0"/>
      <w:autoSpaceDE w:val="0"/>
      <w:autoSpaceDN w:val="0"/>
      <w:adjustRightInd w:val="0"/>
      <w:spacing w:line="240" w:lineRule="auto"/>
      <w:jc w:val="left"/>
    </w:pPr>
    <w:rPr>
      <w:rFonts w:ascii="FZXiaoBiaoSong-B05S" w:eastAsia="FZXiaoBiaoSong-B05S" w:cs="FZXiaoBiaoSong-B05S"/>
      <w:color w:val="000000"/>
      <w:kern w:val="0"/>
      <w:sz w:val="24"/>
      <w:szCs w:val="24"/>
    </w:rPr>
  </w:style>
  <w:style w:type="paragraph" w:customStyle="1" w:styleId="CM2">
    <w:name w:val="CM2"/>
    <w:basedOn w:val="Default"/>
    <w:next w:val="Default"/>
    <w:uiPriority w:val="99"/>
    <w:rsid w:val="00D30CF4"/>
    <w:pPr>
      <w:spacing w:line="560" w:lineRule="atLeast"/>
    </w:pPr>
    <w:rPr>
      <w:rFonts w:cstheme="minorBidi"/>
      <w:color w:val="auto"/>
    </w:rPr>
  </w:style>
  <w:style w:type="paragraph" w:customStyle="1" w:styleId="CM14">
    <w:name w:val="CM14"/>
    <w:basedOn w:val="Default"/>
    <w:next w:val="Default"/>
    <w:uiPriority w:val="99"/>
    <w:rsid w:val="00D30CF4"/>
    <w:rPr>
      <w:rFonts w:cstheme="minorBidi"/>
      <w:color w:val="auto"/>
    </w:rPr>
  </w:style>
  <w:style w:type="paragraph" w:customStyle="1" w:styleId="CM5">
    <w:name w:val="CM5"/>
    <w:basedOn w:val="Default"/>
    <w:next w:val="Default"/>
    <w:uiPriority w:val="99"/>
    <w:rsid w:val="00D30CF4"/>
    <w:rPr>
      <w:rFonts w:cstheme="minorBidi"/>
      <w:color w:val="auto"/>
    </w:rPr>
  </w:style>
  <w:style w:type="paragraph" w:customStyle="1" w:styleId="CM6">
    <w:name w:val="CM6"/>
    <w:basedOn w:val="Default"/>
    <w:next w:val="Default"/>
    <w:uiPriority w:val="99"/>
    <w:rsid w:val="00D30CF4"/>
    <w:pPr>
      <w:spacing w:line="560" w:lineRule="atLeast"/>
    </w:pPr>
    <w:rPr>
      <w:rFonts w:cstheme="minorBidi"/>
      <w:color w:val="auto"/>
    </w:rPr>
  </w:style>
  <w:style w:type="paragraph" w:customStyle="1" w:styleId="CM15">
    <w:name w:val="CM15"/>
    <w:basedOn w:val="Default"/>
    <w:next w:val="Default"/>
    <w:uiPriority w:val="99"/>
    <w:rsid w:val="00D30CF4"/>
    <w:rPr>
      <w:rFonts w:cstheme="minorBidi"/>
      <w:color w:val="auto"/>
    </w:rPr>
  </w:style>
  <w:style w:type="paragraph" w:customStyle="1" w:styleId="CM7">
    <w:name w:val="CM7"/>
    <w:basedOn w:val="Default"/>
    <w:next w:val="Default"/>
    <w:uiPriority w:val="99"/>
    <w:rsid w:val="00D30CF4"/>
    <w:pPr>
      <w:spacing w:line="560" w:lineRule="atLeast"/>
    </w:pPr>
    <w:rPr>
      <w:rFonts w:cstheme="minorBidi"/>
      <w:color w:val="auto"/>
    </w:rPr>
  </w:style>
  <w:style w:type="paragraph" w:customStyle="1" w:styleId="CM8">
    <w:name w:val="CM8"/>
    <w:basedOn w:val="Default"/>
    <w:next w:val="Default"/>
    <w:uiPriority w:val="99"/>
    <w:rsid w:val="00D30CF4"/>
    <w:pPr>
      <w:spacing w:line="560" w:lineRule="atLeast"/>
    </w:pPr>
    <w:rPr>
      <w:rFonts w:cstheme="minorBidi"/>
      <w:color w:val="auto"/>
    </w:rPr>
  </w:style>
  <w:style w:type="paragraph" w:customStyle="1" w:styleId="CM9">
    <w:name w:val="CM9"/>
    <w:basedOn w:val="Default"/>
    <w:next w:val="Default"/>
    <w:uiPriority w:val="99"/>
    <w:rsid w:val="00D30CF4"/>
    <w:pPr>
      <w:spacing w:line="600" w:lineRule="atLeast"/>
    </w:pPr>
    <w:rPr>
      <w:rFonts w:cstheme="minorBidi"/>
      <w:color w:val="auto"/>
    </w:rPr>
  </w:style>
  <w:style w:type="paragraph" w:customStyle="1" w:styleId="CM12">
    <w:name w:val="CM12"/>
    <w:basedOn w:val="Default"/>
    <w:next w:val="Default"/>
    <w:uiPriority w:val="99"/>
    <w:rsid w:val="00D30CF4"/>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181</Words>
  <Characters>1034</Characters>
  <Application>Microsoft Office Word</Application>
  <DocSecurity>0</DocSecurity>
  <Lines>8</Lines>
  <Paragraphs>2</Paragraphs>
  <ScaleCrop>false</ScaleCrop>
  <Company>Microsoft</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2024-05-21T06:15:00Z</dcterms:created>
  <dcterms:modified xsi:type="dcterms:W3CDTF">2024-05-21T06:36:00Z</dcterms:modified>
</cp:coreProperties>
</file>