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1696"/>
        <w:spacing w:before="78" w:line="211" w:lineRule="auto"/>
        <w:tabs>
          <w:tab w:val="left" w:pos="2296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  <w:spacing w:val="-10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年度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 xml:space="preserve">             </w:t>
      </w:r>
      <w:r>
        <w:rPr>
          <w:rFonts w:ascii="SimSun" w:hAnsi="SimSun" w:eastAsia="SimSun" w:cs="SimSun"/>
          <w:sz w:val="24"/>
          <w:szCs w:val="24"/>
          <w:spacing w:val="-1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类事故隐患排查清单</w:t>
      </w:r>
    </w:p>
    <w:tbl>
      <w:tblPr>
        <w:tblStyle w:val="TableNormal"/>
        <w:tblW w:w="84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4"/>
        <w:gridCol w:w="855"/>
        <w:gridCol w:w="721"/>
        <w:gridCol w:w="722"/>
        <w:gridCol w:w="720"/>
        <w:gridCol w:w="721"/>
        <w:gridCol w:w="720"/>
        <w:gridCol w:w="588"/>
        <w:gridCol w:w="588"/>
        <w:gridCol w:w="588"/>
        <w:gridCol w:w="588"/>
        <w:gridCol w:w="564"/>
        <w:gridCol w:w="595"/>
      </w:tblGrid>
      <w:tr>
        <w:trPr>
          <w:trHeight w:val="321" w:hRule="atLeast"/>
        </w:trPr>
        <w:tc>
          <w:tcPr>
            <w:tcW w:w="45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75"/>
              <w:spacing w:before="103" w:line="210" w:lineRule="auto"/>
              <w:rPr/>
            </w:pPr>
            <w:r>
              <w:rPr>
                <w:spacing w:val="-1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pStyle w:val="TableText"/>
              <w:spacing w:before="32" w:line="214" w:lineRule="auto"/>
              <w:jc w:val="right"/>
              <w:rPr/>
            </w:pPr>
            <w:r>
              <w:rPr>
                <w:spacing w:val="-5"/>
              </w:rPr>
              <w:t>风险点简况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（样</w:t>
            </w:r>
          </w:p>
        </w:tc>
        <w:tc>
          <w:tcPr>
            <w:tcW w:w="7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"/>
              <w:spacing w:before="31" w:line="221" w:lineRule="auto"/>
              <w:rPr/>
            </w:pPr>
            <w:r>
              <w:rPr>
                <w:spacing w:val="-5"/>
              </w:rPr>
              <w:t>表）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 w:right="116" w:hanging="29"/>
              <w:spacing w:before="78" w:line="230" w:lineRule="auto"/>
              <w:rPr/>
            </w:pPr>
            <w:r>
              <w:rPr>
                <w:spacing w:val="-5"/>
              </w:rPr>
              <w:t>排查</w:t>
            </w:r>
            <w:r>
              <w:rPr/>
              <w:t xml:space="preserve"> </w:t>
            </w:r>
            <w:r>
              <w:rPr>
                <w:spacing w:val="-20"/>
              </w:rPr>
              <w:t>内容</w:t>
            </w:r>
          </w:p>
        </w:tc>
        <w:tc>
          <w:tcPr>
            <w:tcW w:w="721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17"/>
              <w:spacing w:before="78" w:line="230" w:lineRule="auto"/>
              <w:rPr/>
            </w:pPr>
            <w:r>
              <w:rPr>
                <w:spacing w:val="-5"/>
              </w:rPr>
              <w:t>排查</w:t>
            </w:r>
            <w:r>
              <w:rPr/>
              <w:t xml:space="preserve"> </w:t>
            </w:r>
            <w:r>
              <w:rPr>
                <w:spacing w:val="-6"/>
              </w:rPr>
              <w:t>标准</w:t>
            </w:r>
          </w:p>
        </w:tc>
        <w:tc>
          <w:tcPr>
            <w:tcW w:w="720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15" w:firstLine="15"/>
              <w:spacing w:before="78" w:line="230" w:lineRule="auto"/>
              <w:rPr/>
            </w:pPr>
            <w:r>
              <w:rPr>
                <w:spacing w:val="-13"/>
              </w:rPr>
              <w:t>隐患</w:t>
            </w:r>
            <w:r>
              <w:rPr/>
              <w:t xml:space="preserve"> </w:t>
            </w:r>
            <w:r>
              <w:rPr>
                <w:spacing w:val="-5"/>
              </w:rPr>
              <w:t>判定</w:t>
            </w:r>
          </w:p>
        </w:tc>
        <w:tc>
          <w:tcPr>
            <w:tcW w:w="117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47" w:right="103" w:hanging="131"/>
              <w:spacing w:before="46" w:line="225" w:lineRule="auto"/>
              <w:rPr/>
            </w:pPr>
            <w:r>
              <w:rPr>
                <w:spacing w:val="-3"/>
              </w:rPr>
              <w:t>排查类型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（一）</w:t>
            </w:r>
          </w:p>
        </w:tc>
        <w:tc>
          <w:tcPr>
            <w:tcW w:w="117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47" w:right="103" w:hanging="131"/>
              <w:spacing w:before="46" w:line="225" w:lineRule="auto"/>
              <w:rPr/>
            </w:pPr>
            <w:r>
              <w:rPr>
                <w:spacing w:val="-3"/>
              </w:rPr>
              <w:t>排查类型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（二）</w:t>
            </w:r>
          </w:p>
        </w:tc>
        <w:tc>
          <w:tcPr>
            <w:tcW w:w="115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50" w:right="98" w:hanging="246"/>
              <w:spacing w:before="46" w:line="225" w:lineRule="auto"/>
              <w:rPr/>
            </w:pPr>
            <w:r>
              <w:rPr>
                <w:spacing w:val="-3"/>
              </w:rPr>
              <w:t>排查类型</w:t>
            </w:r>
            <w:r>
              <w:rPr>
                <w:spacing w:val="1"/>
              </w:rPr>
              <w:t xml:space="preserve"> </w:t>
            </w:r>
            <w:r>
              <w:rPr>
                <w:spacing w:val="-46"/>
              </w:rPr>
              <w:t>（…）</w:t>
            </w:r>
          </w:p>
        </w:tc>
      </w:tr>
      <w:tr>
        <w:trPr>
          <w:trHeight w:val="316" w:hRule="atLeast"/>
        </w:trPr>
        <w:tc>
          <w:tcPr>
            <w:tcW w:w="4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 w:right="65" w:hanging="121"/>
              <w:spacing w:before="78" w:line="231" w:lineRule="auto"/>
              <w:rPr/>
            </w:pPr>
            <w:r>
              <w:rPr>
                <w:spacing w:val="-4"/>
              </w:rPr>
              <w:t>风险点</w:t>
            </w:r>
            <w:r>
              <w:rPr/>
              <w:t xml:space="preserve"> </w:t>
            </w:r>
            <w:r>
              <w:rPr>
                <w:spacing w:val="-7"/>
              </w:rPr>
              <w:t>名称</w:t>
            </w:r>
          </w:p>
        </w:tc>
        <w:tc>
          <w:tcPr>
            <w:tcW w:w="721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19" w:firstLine="6"/>
              <w:spacing w:before="78" w:line="230" w:lineRule="auto"/>
              <w:rPr/>
            </w:pPr>
            <w:r>
              <w:rPr>
                <w:spacing w:val="-9"/>
              </w:rPr>
              <w:t>责任</w:t>
            </w:r>
            <w:r>
              <w:rPr/>
              <w:t xml:space="preserve"> </w:t>
            </w:r>
            <w:r>
              <w:rPr>
                <w:spacing w:val="-6"/>
              </w:rPr>
              <w:t>单位</w:t>
            </w:r>
          </w:p>
        </w:tc>
        <w:tc>
          <w:tcPr>
            <w:tcW w:w="722" w:type="dxa"/>
            <w:vAlign w:val="top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19"/>
              <w:spacing w:before="78" w:line="230" w:lineRule="auto"/>
              <w:rPr/>
            </w:pPr>
            <w:r>
              <w:rPr>
                <w:spacing w:val="-6"/>
              </w:rPr>
              <w:t>风险</w:t>
            </w:r>
            <w:r>
              <w:rPr/>
              <w:t xml:space="preserve"> </w:t>
            </w:r>
            <w:r>
              <w:rPr>
                <w:spacing w:val="-6"/>
              </w:rPr>
              <w:t>等级</w:t>
            </w:r>
          </w:p>
        </w:tc>
        <w:tc>
          <w:tcPr>
            <w:tcW w:w="7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1" w:hRule="atLeast"/>
        </w:trPr>
        <w:tc>
          <w:tcPr>
            <w:tcW w:w="45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textDirection w:val="tbRlV"/>
          </w:tcPr>
          <w:p>
            <w:pPr>
              <w:pStyle w:val="TableText"/>
              <w:ind w:left="38"/>
              <w:spacing w:before="167" w:line="209" w:lineRule="auto"/>
              <w:rPr/>
            </w:pPr>
            <w:r>
              <w:rPr>
                <w:spacing w:val="-1"/>
              </w:rPr>
              <w:t>排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查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期</w:t>
            </w:r>
          </w:p>
        </w:tc>
        <w:tc>
          <w:tcPr>
            <w:tcW w:w="588" w:type="dxa"/>
            <w:vAlign w:val="top"/>
            <w:textDirection w:val="tbRlV"/>
          </w:tcPr>
          <w:p>
            <w:pPr>
              <w:pStyle w:val="TableText"/>
              <w:ind w:left="38"/>
              <w:spacing w:before="168" w:line="206" w:lineRule="auto"/>
              <w:rPr/>
            </w:pPr>
            <w:r>
              <w:rPr>
                <w:spacing w:val="-1"/>
              </w:rPr>
              <w:t>组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588" w:type="dxa"/>
            <w:vAlign w:val="top"/>
            <w:textDirection w:val="tbRlV"/>
          </w:tcPr>
          <w:p>
            <w:pPr>
              <w:pStyle w:val="TableText"/>
              <w:ind w:left="38"/>
              <w:spacing w:before="167" w:line="209" w:lineRule="auto"/>
              <w:rPr/>
            </w:pPr>
            <w:r>
              <w:rPr>
                <w:spacing w:val="-1"/>
              </w:rPr>
              <w:t>排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查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期</w:t>
            </w:r>
          </w:p>
        </w:tc>
        <w:tc>
          <w:tcPr>
            <w:tcW w:w="588" w:type="dxa"/>
            <w:vAlign w:val="top"/>
            <w:textDirection w:val="tbRlV"/>
          </w:tcPr>
          <w:p>
            <w:pPr>
              <w:pStyle w:val="TableText"/>
              <w:ind w:left="38"/>
              <w:spacing w:before="168" w:line="206" w:lineRule="auto"/>
              <w:rPr/>
            </w:pPr>
            <w:r>
              <w:rPr>
                <w:spacing w:val="-1"/>
              </w:rPr>
              <w:t>组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38"/>
              <w:spacing w:before="155" w:line="209" w:lineRule="auto"/>
              <w:rPr/>
            </w:pPr>
            <w:r>
              <w:rPr>
                <w:spacing w:val="-1"/>
              </w:rPr>
              <w:t>排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查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期</w:t>
            </w:r>
          </w:p>
        </w:tc>
        <w:tc>
          <w:tcPr>
            <w:tcW w:w="595" w:type="dxa"/>
            <w:vAlign w:val="top"/>
            <w:textDirection w:val="tbRlV"/>
          </w:tcPr>
          <w:p>
            <w:pPr>
              <w:pStyle w:val="TableText"/>
              <w:ind w:left="38"/>
              <w:spacing w:before="175" w:line="206" w:lineRule="auto"/>
              <w:rPr/>
            </w:pPr>
            <w:r>
              <w:rPr>
                <w:spacing w:val="-1"/>
              </w:rPr>
              <w:t>组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</w:tr>
      <w:tr>
        <w:trPr>
          <w:trHeight w:val="316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9" w:right="16" w:firstLine="464"/>
        <w:spacing w:before="35" w:line="23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注1：排查类型主要包括综合性隐患排查、专业性隐患排查、专项或季节性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隐患排查、专家诊断性检查和企业各级负责人履职检查等。</w:t>
      </w:r>
    </w:p>
    <w:p>
      <w:pPr>
        <w:ind w:left="614"/>
        <w:spacing w:before="2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注2：组织级别包括企业集团级、企业级、部</w:t>
      </w:r>
      <w:r>
        <w:rPr>
          <w:rFonts w:ascii="SimSun" w:hAnsi="SimSun" w:eastAsia="SimSun" w:cs="SimSun"/>
          <w:sz w:val="24"/>
          <w:szCs w:val="24"/>
          <w:spacing w:val="-1"/>
        </w:rPr>
        <w:t>门（车间）级、班组级。</w:t>
      </w:r>
    </w:p>
    <w:p>
      <w:pPr>
        <w:ind w:left="614"/>
        <w:spacing w:before="2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注3：“隐患判定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”栏在隐患排查判定后填写。</w:t>
      </w:r>
    </w:p>
    <w:sectPr>
      <w:footerReference w:type="default" r:id="rId1"/>
      <w:pgSz w:w="11906" w:h="16839"/>
      <w:pgMar w:top="1431" w:right="1785" w:bottom="1413" w:left="1675" w:header="0" w:footer="12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151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2024-06-26T13:51:47Z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2024-06-26T13:53:21</vt:filetime>
  </property>
</Properties>
</file>